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Main Navigation Menu Structure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Home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Solutions (No drop down menu)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ACH / eCheck Processing Merchant Account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Point-of-Sale Check Acceptance and Processing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Industry Solutions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Electronic Invoicing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Recurring Billing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Website Payment Form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Virtual Terminal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Partners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Independent Sales Organizations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Developers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Software Providers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Our Partners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Partner Contact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Resources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Application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Forms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ACH Network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Transactions Types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Return Codes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Developers (No drop down menu)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Libraries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Documentation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Test Account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Quick Start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SDKs &amp; Plugins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API Calls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Support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Company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About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Join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Press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Events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Blog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Contact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Individual Unique Pages: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Home Page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See examples of wireframes and mockups for page direction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Developers Page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See examples of wireframes and mockups for page direction.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Business/Merchants Page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See examples of wireframes and mockups for page direction.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Generic Content Page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Should have an area where we can stick main graphic depending on what we would like to display for the page and then hopefully a few interchangeable page content layout options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API/Integration Page</w:t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Should include interactive menu to choose between what content is currently displayed on the page</w:t>
      </w:r>
    </w:p>
    <w:p w:rsidP="00000000" w:rsidRPr="00000000" w:rsidR="00000000" w:rsidDel="00000000" w:rsidRDefault="00000000">
      <w:pPr>
        <w:numPr>
          <w:ilvl w:val="1"/>
          <w:numId w:val="11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See examples of wireframes and mockups for page direction.</w:t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Developer Forum</w:t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FAQ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222222"/>
          <w:sz w:val="20"/>
          <w:highlight w:val="white"/>
          <w:rtl w:val="0"/>
        </w:rPr>
        <w:t xml:space="preserve">Nice to Haves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Create interchangeable images/icons (see example illustrations). There should be at least 2 sizes of each, one approximately 1in x 1in and one much smaller for lists and things. Having interchangeable images/icons will allow us to swap images and content into page areas as we see fit. Images we would like to see: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Security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Keys, Lines of Code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Protection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Locks, Fence,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Multiple Payment Related Images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Piggy Banks, Check Images, Credit Card Images, Briefcase, Dollar Signs, Cash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Partnership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Hands Shaking,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Other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color w:val="222222"/>
          <w:sz w:val="20"/>
          <w:highlight w:val="white"/>
        </w:rPr>
      </w:pPr>
      <w:r w:rsidRPr="00000000" w:rsidR="00000000" w:rsidDel="00000000">
        <w:rPr>
          <w:color w:val="222222"/>
          <w:sz w:val="20"/>
          <w:highlight w:val="white"/>
          <w:rtl w:val="0"/>
        </w:rPr>
        <w:t xml:space="preserve">Buildings, Houses, Store Fronts, Courthouses, Stick Figures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Reference Document.docx</dc:title>
</cp:coreProperties>
</file>